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Dublin food hot spot As One#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Food waste contributes to up to 10% of global Greenhouse Gas emissions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Ireland is aiming to reduce food waste by 50% by 2030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Transportation and production of food has a lasting impact on the environment</w:t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As One do?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They’re a restaurant and cafe located in Dublin City Centre who put an emphasis on sustainability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only use locally sourced ingredients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One use items like mushrooms as lamp shades across the restaurant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with eating more sustainably?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Check out local food hubs that care about the environment and take steps to limit their carbon emissions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As One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EPA Food Waste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epa.ie/our-services/monitoring--assessment/circular-economy/food-waste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asone.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zwmsokMNCMw074fxr5g7owSNiQ==">CgMxLjA4AHIhMW5lYjFHZ0VVdnhkWjZ1ckJHWWwwQmY3WnVaSnBqbElO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