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Elizabeth O’Reilly from WEEE Ireland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In 2021, a record 71,811 tonnes of electronic waste was collected in Ireland for treatment, the highest quantity ever recorded in the State.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Ireland surpassed all EU targets for recycling, reuse, and recovery of WEEE in 2021.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electronic waste?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Anything from large household items such aas washing machines and televisions, to smaller items like headphones and disposable vapes are all types of electrical waste.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I do to prevent a rise in electrical waste?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buying new household appliances, make sure to return your previous item.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out old electrical appliances from your house.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D">
      <w:pPr>
        <w:rPr>
          <w:sz w:val="46"/>
          <w:szCs w:val="46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WEEE Ireland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E-Waste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weeeireland.ie/household-recycling/where-can-i-recycl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weeeireland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RSKxrbxBh9DQIH5ucSqS61LKhg==">AMUW2mVSPyF6LwRk4HJ51kFHTjUBhG7YNZGgs++fATmgfG2MmzKk9ObkgV6j1ma40bhDX0o9UU2R5ooduJFtxJUmJqpjnBJbOuk2l6OV+ocOyycyvO7Ac1k=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