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spoke to Dr.Stephen Dooley from Trinity College Dublin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According to the IEA, the aviation industry contributed to 2% of global carbon emissions.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During the last 15 years, global air traffic increased by more than two-thirds, reaching roughly 39 million flights carried out in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can I do to help with emissions released from aircrafts?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Consider other means of transport where possible to replace short haul flights.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Research whether your preferred airline uses sustainable aviation fuel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the goals for the aviation industry?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The European Commission wants 73% of all aviation fuel lifted off the ground in European airports, to be Sustainable Aviation Fuel by 2050.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0E">
      <w:pPr>
        <w:rPr>
          <w:sz w:val="46"/>
          <w:szCs w:val="46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Sustainable Aviation Fuel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46"/>
          <w:szCs w:val="46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Impact of Aviation industry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1485900</wp:posOffset>
            </wp:positionH>
            <wp:positionV relativeFrom="paragraph">
              <wp:posOffset>457552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www.statista.com/topics/7346/environmental-impact-of-the-aviation-industry-worldwide/#topicOvervie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www.energy.gov/eere/bioenergy/sustainable-aviation-fu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1V9qQjjYkZX/NHdWKAgt6na5/w==">CgMxLjA4AHIhMWNCa1pIdVZtV180SFpLSlFtVVN6cDVBMmgyUEFEbUlB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