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spoke to Owen Keogh, the Head of Sustainability with SuperValu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  <w:t xml:space="preserve">Ireland generated a massive 753,000 tonnes of food waste in 2021 according to the Environmental Protection Agency (EPA), of which 29% is from households amounting to a whopping 44kg of food waste per person on an annual basis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20" w:hanging="360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Food waste costs the average Irish household about €700 per year.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720" w:hanging="360"/>
        <w:rPr>
          <w:sz w:val="19"/>
          <w:szCs w:val="19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18% of people don’t know how to recycle food packaging properly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is SuperValu becoming more sustainable?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="252.00000000000003" w:lineRule="auto"/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SuperValu is committed to reducing their carbon emissions to be Net Zero carbon by 2040.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100% of SuperValu own-brand packaging will be recyclable, reusable or compostable by 2025 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In 2022, SuperValu removed over 35 tonnes of plastic packaging while 376 tonnes of non-recyclable black plastic trays across fresh meat and fish changed over to recyclable clear plastic.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By 2030 SuperValu will reduce food waste in their operations by 50%.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11">
      <w:pPr>
        <w:jc w:val="left"/>
        <w:rPr/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Global supermarket stats from biofriendlyplanet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Supervalu sustainability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1485900</wp:posOffset>
            </wp:positionH>
            <wp:positionV relativeFrom="paragraph">
              <wp:posOffset>457552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supervalu.ie/sustainabilit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biofriendlyplanet.com/grocery-stores-have-room-to-grow-in-the-effort-to-being-sustainabl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XoVzV6p5V4vNgy5VMCWCmP1PlA==">CgMxLjA4AHIhMTA1aHlFbkItcnVGclQxR0ZZcVRyMjFvRnE5RURPTW9G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