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environmentalist Duncan Stewart about Ireland’s impact on climate change.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Duncan Stewart was awarded the Freedom of Dublin award alongside Great Thunberg in June.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He was the first environmentalist to receive the award.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Ireland is not on track to reach its 2030 Climate Action Plan targets.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Ireland’s Climate Targets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the Environmental Protection Agency, Ireland will achieve a reduction of 29% in Greenhouse Gas emissions by 2030 compared to a target of 51%.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first two carbon budgets will not be met.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Emissions from transport are projected to reduce by 35% over the period 2021 to 2030 if the measures set out in plans and policies are implemented.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Ireland reach our Climate Action Plan targets?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reduce your individual waste, like water, food.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 for public transport where possible.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your impact on the climate before travelling on long journeys.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Buy from more sustainable fashion brands rather than fast fashion outlets.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Ireland’s Climate Action Goals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2023 Climate Action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gov.ie/en/publication/7bd8c-climate-action-plan-202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epa.ie/news-releases/news-releases-2023/ireland-projected-to-fall-well-short-of-climate-targets-says-epa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XgsLi1SjrnxAWZXBuAAQBAa0Qg==">CgMxLjA4AHIhMUZmNEh0ZjZJT0xEYzlsSlhGMEFzTEtZaEQ2U2c2clBD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